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DESIGN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DESIGNER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Design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DI-0812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DE-0731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Corner Cafe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identity for a new cafe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Final files delivered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 11,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Usage and licensing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[Usage rights as agreed, for example the client owns the final files once payment is complete]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DELIVERABLES (FIXED FEES)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Logo suite: primary logo, secondary mark and icon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guidelines, 12 pages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document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Business card design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design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Menu design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page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Deliverables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3,360.00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HOURLY 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Discovery workshop and mood boards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Social media templates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revision rounds: menu and business card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212.50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Hourly work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977.50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4,337.50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design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Font license,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4,457.50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1,061.25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3,396.25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DI-0812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Billed as quoted on DE-0731 (4,245.00), plus 2.5 hours of extra revision rounds at 85.00 an hour, approved by the client on Nov 30,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font license was bought in the client's name and is passed through at cost, outside the tax line.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1,061.25 received on Nov 6,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INVOICE</dc:title>
  <dc:subject>Graphic design project invoice</dc:subject>
  <dc:creator>Billed</dc:creator>
  <dc:description>An invoice for a design project: the fixed-fee deliverables and hourly work as quoted, extra revision hours at the hourly rate, a tax rate cell on design services, a font license passed through at cost outside the tax line,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