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NANNY AGENCY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AGENCY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Agency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Family Care Agency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 Example Boulevard, Suite 3,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NA-2614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Search agreement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SA-0388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(FAMILY)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Family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Example family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PLACEMENT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Position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Full-time nanny for 2 children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Nanny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[Nanny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Start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Schedule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Monday to Friday, 8:00 a.m. to 6:00 p.m.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PLACEMENT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75"/>
        <w:gridCol w:w="3124"/>
        <w:gridCol w:w="720"/>
        <w:gridCol w:w="1091"/>
        <w:gridCol w:w="1098"/>
        <w:gridCol w:w="1098"/>
      </w:tblGrid>
      <w:tr>
        <w:trPr>
          <w:tblHeader/>
        </w:trPr>
        <w:tc>
          <w:tcPr>
            <w:tcW w:type="dxa" w:w="30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Placement fee, full-time nanny</w:t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Start date Nov 2, 2026</w:t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placement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3,500.00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3,500.00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Placement subtotal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TEMPORARY AND BACKUP CARE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75"/>
        <w:gridCol w:w="3124"/>
        <w:gridCol w:w="720"/>
        <w:gridCol w:w="1091"/>
        <w:gridCol w:w="1098"/>
        <w:gridCol w:w="1098"/>
      </w:tblGrid>
      <w:tr>
        <w:trPr>
          <w:tblHeader/>
        </w:trPr>
        <w:tc>
          <w:tcPr>
            <w:tcW w:type="dxa" w:w="30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Backup care, daytime</w:t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19-23, 2026; [Caregiver name]</w:t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1,120.00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Backup care, evening</w:t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2026; [Caregiver name]</w:t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Backup care subtotal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1,300.00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BACKGROUND CHECK,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75"/>
        <w:gridCol w:w="3124"/>
        <w:gridCol w:w="720"/>
        <w:gridCol w:w="1091"/>
        <w:gridCol w:w="1098"/>
        <w:gridCol w:w="1098"/>
      </w:tblGrid>
      <w:tr>
        <w:trPr>
          <w:tblHeader/>
        </w:trPr>
        <w:tc>
          <w:tcPr>
            <w:tcW w:type="dxa" w:w="30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Background check and driving record</w:t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[Screening provider]</w:t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30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4,800.00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agency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Background check,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4,865.00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3,865.00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NA-2614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1,000.00 received on Sep 15, 2026, with search agreement SA-0388, and applied to the placement fee.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Backup care is billed from the caregiver's arrival to departure.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background check is passed through at cost, without markup, and is not part of the subtotal.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placement fee includes a 90-day replacement period.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AGENCY INVOICE</dc:title>
  <dc:subject>Nanny agency placement invoice</dc:subject>
  <dc:creator>Billed</dc:creator>
  <dc:description>An invoice from a nanny agency to a family: the placement fee, temporary or backup care billed by the hour, a background check passed through at cost, a tax rate cell,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