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WEB DESIGN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DESIGNER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Web Design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52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WD-0419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P-2026-31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Bakery &amp; Cafe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Sample Square,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Website redesign, 5 page templates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Design delivered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Developer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[Developer or agency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DESIGN PHASES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3"/>
        <w:gridCol w:w="3998"/>
        <w:gridCol w:w="730"/>
        <w:gridCol w:w="846"/>
        <w:gridCol w:w="1115"/>
        <w:gridCol w:w="1114"/>
      </w:tblGrid>
      <w:tr>
        <w:trPr>
          <w:tblHeader/>
        </w:trPr>
        <w:tc>
          <w:tcPr>
            <w:tcW w:type="dxa" w:w="24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Discovery and sitemap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Workshop, content plan, sitemap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phase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Mockups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Homepage and 4 inner pages, desktop and mobile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phase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Build handoff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Design system, specs and exported assets for the developer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phase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9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Phases subtotal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4,000.00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REVISION ROUNDS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3"/>
        <w:gridCol w:w="3998"/>
        <w:gridCol w:w="730"/>
        <w:gridCol w:w="846"/>
        <w:gridCol w:w="1115"/>
        <w:gridCol w:w="1114"/>
      </w:tblGrid>
      <w:tr>
        <w:trPr>
          <w:tblHeader/>
        </w:trPr>
        <w:tc>
          <w:tcPr>
            <w:tcW w:type="dxa" w:w="24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Revision rounds included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rounds, within the phase fees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Additional revision round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 3, homepage and pricing page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9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Revisions subtotal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STOCK IMAGES AND FONTS,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3"/>
        <w:gridCol w:w="3998"/>
        <w:gridCol w:w="730"/>
        <w:gridCol w:w="846"/>
        <w:gridCol w:w="1115"/>
        <w:gridCol w:w="1114"/>
      </w:tblGrid>
      <w:tr>
        <w:trPr>
          <w:tblHeader/>
        </w:trPr>
        <w:tc>
          <w:tcPr>
            <w:tcW w:type="dxa" w:w="24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Stock photo licenses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images, standard license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image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Web font license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family, web use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license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4,350.00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design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Stock images and fonts,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192.00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4,542.00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2,000.00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2,542.00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WD-0419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each phase fee includes 2 revision rounds; further rounds are 350.00 each.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Stock images and the font license are passed through at cost; the licenses are in the client's name.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deposit of 2,000.00 was received at the start of the project.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INVOICE</dc:title>
  <dc:subject>Web design project invoice</dc:subject>
  <dc:creator>Billed</dc:creator>
  <dc:description>An invoice for a website design project: discovery, mockups and build handoff as phase fees, the revision rounds included and any extra round, stock images and font licenses passed through at cost, a tax rate cell on design services,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